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F600" w14:textId="77777777" w:rsidR="00DB2276" w:rsidRPr="00DB2276" w:rsidRDefault="00DB2276" w:rsidP="00DB2276">
      <w:pPr>
        <w:pStyle w:val="Title"/>
        <w:rPr>
          <w:sz w:val="40"/>
          <w:szCs w:val="40"/>
        </w:rPr>
      </w:pPr>
      <w:r w:rsidRPr="00DB2276">
        <w:rPr>
          <w:sz w:val="40"/>
          <w:szCs w:val="40"/>
        </w:rPr>
        <w:t>Beyond the Finger-Pointing</w:t>
      </w:r>
    </w:p>
    <w:p w14:paraId="3C9D79E9" w14:textId="0E64B987" w:rsidR="00DB2276" w:rsidRDefault="00DB2276" w:rsidP="00DB2276">
      <w:pPr>
        <w:pStyle w:val="Subtitle"/>
      </w:pPr>
      <w:r>
        <w:t>Embracing Grace and Forgiveness</w:t>
      </w:r>
    </w:p>
    <w:p w14:paraId="32E3EEAF" w14:textId="492E2FCF" w:rsidR="00DB2276" w:rsidRDefault="00DB2276" w:rsidP="00DB2276">
      <w:pPr>
        <w:spacing w:after="0"/>
      </w:pPr>
      <w:r>
        <w:t>John 8:1–11</w:t>
      </w:r>
    </w:p>
    <w:p w14:paraId="12DAE6EC" w14:textId="77777777" w:rsidR="00DB2276" w:rsidRPr="00DB2276" w:rsidRDefault="00DB2276" w:rsidP="00DB2276">
      <w:pPr>
        <w:pStyle w:val="Heading1"/>
        <w:spacing w:before="0"/>
        <w:rPr>
          <w:sz w:val="20"/>
          <w:szCs w:val="20"/>
        </w:rPr>
      </w:pPr>
      <w:r w:rsidRPr="00DB2276">
        <w:rPr>
          <w:rFonts w:cs="Source Sans Pro"/>
          <w:b/>
          <w:bCs/>
          <w:sz w:val="28"/>
          <w:szCs w:val="28"/>
        </w:rPr>
        <w:t xml:space="preserve">Recognize Our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         </w:t>
      </w:r>
    </w:p>
    <w:p w14:paraId="72D9ABCC" w14:textId="77777777" w:rsidR="00DB2276" w:rsidRPr="00DB2276" w:rsidRDefault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sz w:val="20"/>
          <w:szCs w:val="20"/>
        </w:rPr>
        <w:t>The phrase “</w:t>
      </w:r>
      <w:r w:rsidRPr="00DB2276">
        <w:rPr>
          <w:rFonts w:cs="Source Sans Pro"/>
          <w:i/>
          <w:iCs/>
          <w:sz w:val="20"/>
          <w:szCs w:val="20"/>
        </w:rPr>
        <w:t>convicted by their own conscience</w:t>
      </w:r>
      <w:r w:rsidRPr="00DB2276">
        <w:rPr>
          <w:rFonts w:cs="Source Sans Pro"/>
          <w:sz w:val="20"/>
          <w:szCs w:val="20"/>
        </w:rPr>
        <w:t xml:space="preserve">” is an interesting description. In original </w:t>
      </w:r>
      <w:proofErr w:type="gramStart"/>
      <w:r w:rsidRPr="00DB2276">
        <w:rPr>
          <w:rFonts w:cs="Source Sans Pro"/>
          <w:sz w:val="20"/>
          <w:szCs w:val="20"/>
        </w:rPr>
        <w:t xml:space="preserve">Greek, </w:t>
      </w:r>
      <w:r w:rsidRPr="00DB2276">
        <w:rPr>
          <w:rFonts w:ascii="Cambria" w:hAnsi="Cambria" w:cs="Cambria"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sz w:val="20"/>
          <w:szCs w:val="20"/>
          <w:u w:val="single"/>
        </w:rPr>
        <w:t>                         </w:t>
      </w:r>
      <w:r w:rsidRPr="00DB2276">
        <w:rPr>
          <w:rFonts w:cs="Source Sans Pro"/>
          <w:sz w:val="20"/>
          <w:szCs w:val="20"/>
        </w:rPr>
        <w:t xml:space="preserve"> means “</w:t>
      </w:r>
      <w:r w:rsidRPr="00DB2276">
        <w:rPr>
          <w:rFonts w:cs="Source Sans Pro"/>
          <w:i/>
          <w:iCs/>
          <w:sz w:val="20"/>
          <w:szCs w:val="20"/>
        </w:rPr>
        <w:t>to be sternly admonished</w:t>
      </w:r>
      <w:r w:rsidRPr="00DB2276">
        <w:rPr>
          <w:rFonts w:cs="Source Sans Pro"/>
          <w:sz w:val="20"/>
          <w:szCs w:val="20"/>
        </w:rPr>
        <w:t xml:space="preserve">.” Note that it was their </w:t>
      </w:r>
      <w:proofErr w:type="gramStart"/>
      <w:r w:rsidRPr="00DB2276">
        <w:rPr>
          <w:rFonts w:cs="Source Sans Pro"/>
          <w:sz w:val="20"/>
          <w:szCs w:val="20"/>
        </w:rPr>
        <w:t>“</w:t>
      </w:r>
      <w:r w:rsidRPr="00DB2276">
        <w:rPr>
          <w:rFonts w:ascii="Cambria" w:hAnsi="Cambria" w:cs="Cambria"/>
          <w:i/>
          <w:iCs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i/>
          <w:iCs/>
          <w:sz w:val="20"/>
          <w:szCs w:val="20"/>
          <w:u w:val="single"/>
        </w:rPr>
        <w:t>                            </w:t>
      </w:r>
      <w:r w:rsidRPr="00DB2276">
        <w:rPr>
          <w:rFonts w:cs="Source Sans Pro"/>
          <w:sz w:val="20"/>
          <w:szCs w:val="20"/>
        </w:rPr>
        <w:t xml:space="preserve">” which sternly admonished them. </w:t>
      </w:r>
    </w:p>
    <w:p w14:paraId="23A09690" w14:textId="77777777" w:rsidR="00DB2276" w:rsidRPr="00DB2276" w:rsidRDefault="00DB2276" w:rsidP="00DB2276">
      <w:pPr>
        <w:pStyle w:val="ListParagraph"/>
        <w:numPr>
          <w:ilvl w:val="0"/>
          <w:numId w:val="11"/>
        </w:numPr>
        <w:spacing w:before="180" w:after="180"/>
        <w:rPr>
          <w:sz w:val="20"/>
          <w:szCs w:val="20"/>
        </w:rPr>
      </w:pPr>
      <w:proofErr w:type="gramStart"/>
      <w:r w:rsidRPr="00DB2276">
        <w:rPr>
          <w:rFonts w:cs="Source Sans Pro"/>
          <w:b/>
          <w:bCs/>
          <w:sz w:val="20"/>
          <w:szCs w:val="20"/>
        </w:rPr>
        <w:t xml:space="preserve">First,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</w:t>
      </w:r>
      <w:r w:rsidRPr="00DB2276">
        <w:rPr>
          <w:rFonts w:cs="Source Sans Pro"/>
          <w:b/>
          <w:bCs/>
          <w:sz w:val="20"/>
          <w:szCs w:val="20"/>
        </w:rPr>
        <w:t xml:space="preserve"> entered the world. Man violated God’s mandate. Man chose the lust of the eyes, the flesh, and the pride of life over his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with the Creator of the Universe.</w:t>
      </w:r>
    </w:p>
    <w:p w14:paraId="62BCEA0D" w14:textId="77777777" w:rsidR="00DB2276" w:rsidRPr="00DB2276" w:rsidRDefault="00DB2276" w:rsidP="00DB2276">
      <w:pPr>
        <w:pStyle w:val="ListParagraph"/>
        <w:numPr>
          <w:ilvl w:val="0"/>
          <w:numId w:val="11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Second, man indeed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the ability to know good and evil. </w:t>
      </w:r>
    </w:p>
    <w:p w14:paraId="046BE977" w14:textId="77777777" w:rsidR="00DB2276" w:rsidRPr="00DB2276" w:rsidRDefault="00DB2276" w:rsidP="00DB2276">
      <w:pPr>
        <w:pStyle w:val="Heading1"/>
        <w:spacing w:before="0"/>
        <w:rPr>
          <w:sz w:val="28"/>
          <w:szCs w:val="28"/>
        </w:rPr>
      </w:pPr>
      <w:r w:rsidRPr="00DB2276">
        <w:rPr>
          <w:rFonts w:cs="Source Sans Pro"/>
          <w:b/>
          <w:bCs/>
          <w:sz w:val="28"/>
          <w:szCs w:val="28"/>
        </w:rPr>
        <w:t xml:space="preserve">Reveals Our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               </w:t>
      </w:r>
    </w:p>
    <w:p w14:paraId="3AE82D8F" w14:textId="77777777" w:rsidR="00DB2276" w:rsidRPr="00DB2276" w:rsidRDefault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>There were three things characterized by these men, the Pharisees, that reveal our hypocrisy.</w:t>
      </w:r>
    </w:p>
    <w:p w14:paraId="78288AAE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First, they were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by their sinful ambition.</w:t>
      </w:r>
    </w:p>
    <w:p w14:paraId="465D3D35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Second, they were much too eager to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not just this woman but also Christ.</w:t>
      </w:r>
    </w:p>
    <w:p w14:paraId="0201E7CF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Third, they were utterly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of their sin.</w:t>
      </w:r>
    </w:p>
    <w:p w14:paraId="1E26A39A" w14:textId="77777777" w:rsidR="00DB2276" w:rsidRPr="00DB2276" w:rsidRDefault="00DB2276" w:rsidP="00DB2276">
      <w:pPr>
        <w:pStyle w:val="Heading1"/>
        <w:spacing w:before="0"/>
        <w:rPr>
          <w:sz w:val="28"/>
          <w:szCs w:val="28"/>
        </w:rPr>
      </w:pPr>
      <w:r w:rsidRPr="00DB2276">
        <w:rPr>
          <w:rFonts w:cs="Source Sans Pro"/>
          <w:b/>
          <w:bCs/>
          <w:sz w:val="28"/>
          <w:szCs w:val="28"/>
        </w:rPr>
        <w:t xml:space="preserve">Resist the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</w:t>
      </w:r>
      <w:r w:rsidRPr="00DB2276">
        <w:rPr>
          <w:rFonts w:cs="Source Sans Pro"/>
          <w:b/>
          <w:bCs/>
          <w:sz w:val="28"/>
          <w:szCs w:val="28"/>
        </w:rPr>
        <w:t xml:space="preserve"> </w:t>
      </w:r>
      <w:proofErr w:type="spellStart"/>
      <w:r w:rsidRPr="00DB2276">
        <w:rPr>
          <w:rFonts w:cs="Source Sans Pro"/>
          <w:b/>
          <w:bCs/>
          <w:sz w:val="28"/>
          <w:szCs w:val="28"/>
        </w:rPr>
        <w:t>to</w:t>
      </w:r>
      <w:proofErr w:type="spellEnd"/>
      <w:r w:rsidRPr="00DB2276">
        <w:rPr>
          <w:rFonts w:cs="Source Sans Pro"/>
          <w:b/>
          <w:bCs/>
          <w:sz w:val="28"/>
          <w:szCs w:val="28"/>
        </w:rPr>
        <w:t xml:space="preserve"> Judge</w:t>
      </w:r>
    </w:p>
    <w:p w14:paraId="4B5F15A7" w14:textId="77777777" w:rsidR="00DB2276" w:rsidRPr="00DB2276" w:rsidRDefault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The great news is that Christ came not to condemn us but to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us!</w:t>
      </w:r>
    </w:p>
    <w:p w14:paraId="19CE75D2" w14:textId="77777777" w:rsidR="00DB2276" w:rsidRPr="00DB2276" w:rsidRDefault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Accepting Christ is the first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to moving beyond the hypocrisy of finger-pointing. </w:t>
      </w:r>
    </w:p>
    <w:p w14:paraId="05AAAF01" w14:textId="5BB7A36E" w:rsidR="00DB2276" w:rsidRDefault="00DB2276" w:rsidP="00DB2276">
      <w:pPr>
        <w:spacing w:before="180" w:after="180"/>
        <w:rPr>
          <w:rFonts w:cs="Source Sans Pro"/>
          <w:b/>
          <w:bCs/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Moving beyond the finger-pointing is all about God’s great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towards us.</w:t>
      </w:r>
    </w:p>
    <w:p w14:paraId="30BB9975" w14:textId="77777777" w:rsidR="00DB2276" w:rsidRPr="00DB2276" w:rsidRDefault="00DB2276" w:rsidP="00DB2276">
      <w:pPr>
        <w:pStyle w:val="Title"/>
        <w:rPr>
          <w:sz w:val="40"/>
          <w:szCs w:val="40"/>
        </w:rPr>
      </w:pPr>
      <w:r w:rsidRPr="00DB2276">
        <w:rPr>
          <w:sz w:val="40"/>
          <w:szCs w:val="40"/>
        </w:rPr>
        <w:lastRenderedPageBreak/>
        <w:t>Beyond the Finger-Pointing</w:t>
      </w:r>
    </w:p>
    <w:p w14:paraId="27FAD883" w14:textId="77777777" w:rsidR="00DB2276" w:rsidRDefault="00DB2276" w:rsidP="00DB2276">
      <w:pPr>
        <w:pStyle w:val="Subtitle"/>
      </w:pPr>
      <w:r>
        <w:t>Embracing Grace and Forgiveness</w:t>
      </w:r>
    </w:p>
    <w:p w14:paraId="57C1DAD1" w14:textId="2A9DB7E7" w:rsidR="00DB2276" w:rsidRPr="00DB2276" w:rsidRDefault="00DB2276" w:rsidP="00DB2276">
      <w:pPr>
        <w:spacing w:after="0"/>
      </w:pPr>
      <w:r>
        <w:t>John 8:1–11</w:t>
      </w:r>
    </w:p>
    <w:p w14:paraId="02F582F7" w14:textId="77777777" w:rsidR="00DB2276" w:rsidRPr="00DB2276" w:rsidRDefault="00DB2276" w:rsidP="00DB2276">
      <w:pPr>
        <w:pStyle w:val="Heading1"/>
        <w:spacing w:before="0"/>
        <w:rPr>
          <w:sz w:val="20"/>
          <w:szCs w:val="20"/>
        </w:rPr>
      </w:pPr>
      <w:r w:rsidRPr="00DB2276">
        <w:rPr>
          <w:rFonts w:cs="Source Sans Pro"/>
          <w:b/>
          <w:bCs/>
          <w:sz w:val="28"/>
          <w:szCs w:val="28"/>
        </w:rPr>
        <w:t xml:space="preserve">Recognize Our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         </w:t>
      </w:r>
    </w:p>
    <w:p w14:paraId="1FADE4D8" w14:textId="77777777" w:rsidR="00DB2276" w:rsidRPr="00DB2276" w:rsidRDefault="00DB2276" w:rsidP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sz w:val="20"/>
          <w:szCs w:val="20"/>
        </w:rPr>
        <w:t>The phrase “</w:t>
      </w:r>
      <w:r w:rsidRPr="00DB2276">
        <w:rPr>
          <w:rFonts w:cs="Source Sans Pro"/>
          <w:i/>
          <w:iCs/>
          <w:sz w:val="20"/>
          <w:szCs w:val="20"/>
        </w:rPr>
        <w:t>convicted by their own conscience</w:t>
      </w:r>
      <w:r w:rsidRPr="00DB2276">
        <w:rPr>
          <w:rFonts w:cs="Source Sans Pro"/>
          <w:sz w:val="20"/>
          <w:szCs w:val="20"/>
        </w:rPr>
        <w:t xml:space="preserve">” is an interesting description. In original </w:t>
      </w:r>
      <w:proofErr w:type="gramStart"/>
      <w:r w:rsidRPr="00DB2276">
        <w:rPr>
          <w:rFonts w:cs="Source Sans Pro"/>
          <w:sz w:val="20"/>
          <w:szCs w:val="20"/>
        </w:rPr>
        <w:t xml:space="preserve">Greek, </w:t>
      </w:r>
      <w:r w:rsidRPr="00DB2276">
        <w:rPr>
          <w:rFonts w:ascii="Cambria" w:hAnsi="Cambria" w:cs="Cambria"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sz w:val="20"/>
          <w:szCs w:val="20"/>
          <w:u w:val="single"/>
        </w:rPr>
        <w:t>                         </w:t>
      </w:r>
      <w:r w:rsidRPr="00DB2276">
        <w:rPr>
          <w:rFonts w:cs="Source Sans Pro"/>
          <w:sz w:val="20"/>
          <w:szCs w:val="20"/>
        </w:rPr>
        <w:t xml:space="preserve"> means “</w:t>
      </w:r>
      <w:r w:rsidRPr="00DB2276">
        <w:rPr>
          <w:rFonts w:cs="Source Sans Pro"/>
          <w:i/>
          <w:iCs/>
          <w:sz w:val="20"/>
          <w:szCs w:val="20"/>
        </w:rPr>
        <w:t>to be sternly admonished</w:t>
      </w:r>
      <w:r w:rsidRPr="00DB2276">
        <w:rPr>
          <w:rFonts w:cs="Source Sans Pro"/>
          <w:sz w:val="20"/>
          <w:szCs w:val="20"/>
        </w:rPr>
        <w:t xml:space="preserve">.” Note that it was their </w:t>
      </w:r>
      <w:proofErr w:type="gramStart"/>
      <w:r w:rsidRPr="00DB2276">
        <w:rPr>
          <w:rFonts w:cs="Source Sans Pro"/>
          <w:sz w:val="20"/>
          <w:szCs w:val="20"/>
        </w:rPr>
        <w:t>“</w:t>
      </w:r>
      <w:r w:rsidRPr="00DB2276">
        <w:rPr>
          <w:rFonts w:ascii="Cambria" w:hAnsi="Cambria" w:cs="Cambria"/>
          <w:i/>
          <w:iCs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i/>
          <w:iCs/>
          <w:sz w:val="20"/>
          <w:szCs w:val="20"/>
          <w:u w:val="single"/>
        </w:rPr>
        <w:t>                            </w:t>
      </w:r>
      <w:r w:rsidRPr="00DB2276">
        <w:rPr>
          <w:rFonts w:cs="Source Sans Pro"/>
          <w:sz w:val="20"/>
          <w:szCs w:val="20"/>
        </w:rPr>
        <w:t xml:space="preserve">” which sternly admonished them. </w:t>
      </w:r>
    </w:p>
    <w:p w14:paraId="6D310544" w14:textId="77777777" w:rsidR="00DB2276" w:rsidRPr="00DB2276" w:rsidRDefault="00DB2276" w:rsidP="00DB2276">
      <w:pPr>
        <w:pStyle w:val="ListParagraph"/>
        <w:numPr>
          <w:ilvl w:val="0"/>
          <w:numId w:val="11"/>
        </w:numPr>
        <w:spacing w:before="180" w:after="180"/>
        <w:rPr>
          <w:sz w:val="20"/>
          <w:szCs w:val="20"/>
        </w:rPr>
      </w:pPr>
      <w:proofErr w:type="gramStart"/>
      <w:r w:rsidRPr="00DB2276">
        <w:rPr>
          <w:rFonts w:cs="Source Sans Pro"/>
          <w:b/>
          <w:bCs/>
          <w:sz w:val="20"/>
          <w:szCs w:val="20"/>
        </w:rPr>
        <w:t xml:space="preserve">First,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</w:t>
      </w:r>
      <w:proofErr w:type="gramEnd"/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</w:t>
      </w:r>
      <w:r w:rsidRPr="00DB2276">
        <w:rPr>
          <w:rFonts w:cs="Source Sans Pro"/>
          <w:b/>
          <w:bCs/>
          <w:sz w:val="20"/>
          <w:szCs w:val="20"/>
        </w:rPr>
        <w:t xml:space="preserve"> entered the world. Man violated God’s mandate. Man chose the lust of the eyes, the flesh, and the pride of life over his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with the Creator of the Universe.</w:t>
      </w:r>
    </w:p>
    <w:p w14:paraId="0CA3E789" w14:textId="77777777" w:rsidR="00DB2276" w:rsidRPr="00DB2276" w:rsidRDefault="00DB2276" w:rsidP="00DB2276">
      <w:pPr>
        <w:pStyle w:val="ListParagraph"/>
        <w:numPr>
          <w:ilvl w:val="0"/>
          <w:numId w:val="11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Second, man indeed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the ability to know good and evil. </w:t>
      </w:r>
    </w:p>
    <w:p w14:paraId="06F6208E" w14:textId="77777777" w:rsidR="00DB2276" w:rsidRPr="00DB2276" w:rsidRDefault="00DB2276" w:rsidP="00DB2276">
      <w:pPr>
        <w:pStyle w:val="Heading1"/>
        <w:spacing w:before="0"/>
        <w:rPr>
          <w:sz w:val="28"/>
          <w:szCs w:val="28"/>
        </w:rPr>
      </w:pPr>
      <w:r w:rsidRPr="00DB2276">
        <w:rPr>
          <w:rFonts w:cs="Source Sans Pro"/>
          <w:b/>
          <w:bCs/>
          <w:sz w:val="28"/>
          <w:szCs w:val="28"/>
        </w:rPr>
        <w:t xml:space="preserve">Reveals Our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               </w:t>
      </w:r>
    </w:p>
    <w:p w14:paraId="2B4B9A64" w14:textId="77777777" w:rsidR="00DB2276" w:rsidRPr="00DB2276" w:rsidRDefault="00DB2276" w:rsidP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>There were three things characterized by these men, the Pharisees, that reveal our hypocrisy.</w:t>
      </w:r>
    </w:p>
    <w:p w14:paraId="0E6EA7A7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First, they were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by their sinful ambition.</w:t>
      </w:r>
    </w:p>
    <w:p w14:paraId="4622636C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Second, they were much too eager to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not just this woman but also Christ.</w:t>
      </w:r>
    </w:p>
    <w:p w14:paraId="304CF117" w14:textId="77777777" w:rsidR="00DB2276" w:rsidRPr="00DB2276" w:rsidRDefault="00DB2276" w:rsidP="00DB2276">
      <w:pPr>
        <w:pStyle w:val="ListParagraph"/>
        <w:numPr>
          <w:ilvl w:val="0"/>
          <w:numId w:val="12"/>
        </w:num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Third, they were utterly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of their sin.</w:t>
      </w:r>
    </w:p>
    <w:p w14:paraId="12C9C471" w14:textId="77777777" w:rsidR="00DB2276" w:rsidRPr="00DB2276" w:rsidRDefault="00DB2276" w:rsidP="00DB2276">
      <w:pPr>
        <w:pStyle w:val="Heading1"/>
        <w:spacing w:before="0"/>
        <w:rPr>
          <w:sz w:val="28"/>
          <w:szCs w:val="28"/>
        </w:rPr>
      </w:pPr>
      <w:r w:rsidRPr="00DB2276">
        <w:rPr>
          <w:rFonts w:cs="Source Sans Pro"/>
          <w:b/>
          <w:bCs/>
          <w:sz w:val="28"/>
          <w:szCs w:val="28"/>
        </w:rPr>
        <w:t xml:space="preserve">Resist the </w:t>
      </w:r>
      <w:r w:rsidRPr="00DB2276">
        <w:rPr>
          <w:rFonts w:cs="Source Sans Pro"/>
          <w:b/>
          <w:bCs/>
          <w:sz w:val="28"/>
          <w:szCs w:val="28"/>
          <w:u w:val="single"/>
        </w:rPr>
        <w:t>            </w:t>
      </w:r>
      <w:r w:rsidRPr="00DB2276">
        <w:rPr>
          <w:rFonts w:cs="Source Sans Pro"/>
          <w:b/>
          <w:bCs/>
          <w:sz w:val="28"/>
          <w:szCs w:val="28"/>
        </w:rPr>
        <w:t xml:space="preserve"> </w:t>
      </w:r>
      <w:proofErr w:type="spellStart"/>
      <w:r w:rsidRPr="00DB2276">
        <w:rPr>
          <w:rFonts w:cs="Source Sans Pro"/>
          <w:b/>
          <w:bCs/>
          <w:sz w:val="28"/>
          <w:szCs w:val="28"/>
        </w:rPr>
        <w:t>to</w:t>
      </w:r>
      <w:proofErr w:type="spellEnd"/>
      <w:r w:rsidRPr="00DB2276">
        <w:rPr>
          <w:rFonts w:cs="Source Sans Pro"/>
          <w:b/>
          <w:bCs/>
          <w:sz w:val="28"/>
          <w:szCs w:val="28"/>
        </w:rPr>
        <w:t xml:space="preserve"> Judge</w:t>
      </w:r>
    </w:p>
    <w:p w14:paraId="6181E8A8" w14:textId="77777777" w:rsidR="00DB2276" w:rsidRPr="00DB2276" w:rsidRDefault="00DB2276" w:rsidP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The great news is that Christ came not to condemn us but to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us!</w:t>
      </w:r>
    </w:p>
    <w:p w14:paraId="4FC76B6B" w14:textId="77777777" w:rsidR="00DB2276" w:rsidRPr="00DB2276" w:rsidRDefault="00DB2276" w:rsidP="00DB2276">
      <w:pPr>
        <w:spacing w:before="180" w:after="180"/>
        <w:rPr>
          <w:sz w:val="20"/>
          <w:szCs w:val="20"/>
        </w:rPr>
      </w:pPr>
      <w:r w:rsidRPr="00DB2276">
        <w:rPr>
          <w:rFonts w:cs="Source Sans Pro"/>
          <w:b/>
          <w:bCs/>
          <w:sz w:val="20"/>
          <w:szCs w:val="20"/>
        </w:rPr>
        <w:t xml:space="preserve">Accepting Christ is the first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to moving beyond the hypocrisy of finger-pointing. </w:t>
      </w:r>
    </w:p>
    <w:p w14:paraId="7A424756" w14:textId="4B352B48" w:rsidR="00CE7834" w:rsidRDefault="00DB2276" w:rsidP="00DB2276">
      <w:pPr>
        <w:spacing w:before="180" w:after="180"/>
      </w:pPr>
      <w:r w:rsidRPr="00DB2276">
        <w:rPr>
          <w:rFonts w:cs="Source Sans Pro"/>
          <w:b/>
          <w:bCs/>
          <w:sz w:val="20"/>
          <w:szCs w:val="20"/>
        </w:rPr>
        <w:t xml:space="preserve">Moving beyond the finger-pointing is all about God’s great </w:t>
      </w:r>
      <w:r w:rsidRPr="00DB2276">
        <w:rPr>
          <w:rFonts w:ascii="Cambria" w:hAnsi="Cambria" w:cs="Cambria"/>
          <w:b/>
          <w:bCs/>
          <w:sz w:val="20"/>
          <w:szCs w:val="20"/>
          <w:u w:val="single"/>
        </w:rPr>
        <w:t>               </w:t>
      </w:r>
      <w:r w:rsidRPr="00DB2276">
        <w:rPr>
          <w:rFonts w:cs="Source Sans Pro"/>
          <w:b/>
          <w:bCs/>
          <w:sz w:val="20"/>
          <w:szCs w:val="20"/>
        </w:rPr>
        <w:t xml:space="preserve"> towards us.</w:t>
      </w:r>
    </w:p>
    <w:sectPr w:rsidR="00CE7834" w:rsidSect="00DB2276">
      <w:headerReference w:type="default" r:id="rId7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F8F" w14:textId="77777777" w:rsidR="00DB2276" w:rsidRDefault="00DB2276" w:rsidP="00DB2276">
      <w:pPr>
        <w:spacing w:after="0" w:line="240" w:lineRule="auto"/>
      </w:pPr>
      <w:r>
        <w:separator/>
      </w:r>
    </w:p>
  </w:endnote>
  <w:endnote w:type="continuationSeparator" w:id="0">
    <w:p w14:paraId="6CC8197D" w14:textId="77777777" w:rsidR="00DB2276" w:rsidRDefault="00DB2276" w:rsidP="00DB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B3B4" w14:textId="77777777" w:rsidR="00DB2276" w:rsidRDefault="00DB2276" w:rsidP="00DB2276">
      <w:pPr>
        <w:spacing w:after="0" w:line="240" w:lineRule="auto"/>
      </w:pPr>
      <w:r>
        <w:separator/>
      </w:r>
    </w:p>
  </w:footnote>
  <w:footnote w:type="continuationSeparator" w:id="0">
    <w:p w14:paraId="6219AFAF" w14:textId="77777777" w:rsidR="00DB2276" w:rsidRDefault="00DB2276" w:rsidP="00DB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EBA8" w14:textId="77777777" w:rsidR="00DB2276" w:rsidRPr="00532E55" w:rsidRDefault="00DB2276">
    <w:pPr>
      <w:pStyle w:val="Header"/>
      <w:rPr>
        <w:i/>
        <w:iCs/>
        <w:sz w:val="36"/>
        <w:szCs w:val="36"/>
      </w:rPr>
    </w:pPr>
    <w:r w:rsidRPr="00532E55">
      <w:rPr>
        <w:noProof/>
      </w:rPr>
      <w:drawing>
        <wp:anchor distT="0" distB="0" distL="114300" distR="114300" simplePos="0" relativeHeight="251659264" behindDoc="1" locked="0" layoutInCell="1" allowOverlap="1" wp14:anchorId="11D546E4" wp14:editId="3E0D432A">
          <wp:simplePos x="0" y="0"/>
          <wp:positionH relativeFrom="margin">
            <wp:posOffset>214</wp:posOffset>
          </wp:positionH>
          <wp:positionV relativeFrom="paragraph">
            <wp:posOffset>-150575</wp:posOffset>
          </wp:positionV>
          <wp:extent cx="1414780" cy="682625"/>
          <wp:effectExtent l="0" t="0" r="0" b="3175"/>
          <wp:wrapTight wrapText="bothSides">
            <wp:wrapPolygon edited="0">
              <wp:start x="0" y="0"/>
              <wp:lineTo x="0" y="21098"/>
              <wp:lineTo x="21232" y="21098"/>
              <wp:lineTo x="21232" y="0"/>
              <wp:lineTo x="0" y="0"/>
            </wp:wrapPolygon>
          </wp:wrapTight>
          <wp:docPr id="137786237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E55">
      <w:rPr>
        <w:rStyle w:val="Hyperlink"/>
        <w:i/>
        <w:iCs/>
      </w:rPr>
      <w:t>Know, Make Known, and Serve the Christ of Calvary!</w:t>
    </w:r>
    <w:r w:rsidRPr="00532E55">
      <w:rPr>
        <w:sz w:val="24"/>
        <w:szCs w:val="24"/>
      </w:rPr>
      <w:tab/>
    </w:r>
  </w:p>
  <w:p w14:paraId="265E7C5A" w14:textId="3112BC71" w:rsidR="00DB2276" w:rsidRDefault="00DB2276">
    <w:pPr>
      <w:pStyle w:val="Header"/>
      <w:rPr>
        <w:rStyle w:val="Hyperlink"/>
        <w:sz w:val="14"/>
        <w:szCs w:val="14"/>
      </w:rPr>
    </w:pPr>
    <w:hyperlink r:id="rId2" w:history="1">
      <w:r w:rsidRPr="00F15C68">
        <w:rPr>
          <w:rStyle w:val="Hyperlink"/>
          <w:sz w:val="14"/>
          <w:szCs w:val="14"/>
        </w:rPr>
        <w:t>www.calvarybaptistbedford.org</w:t>
      </w:r>
    </w:hyperlink>
  </w:p>
  <w:p w14:paraId="1E5497FB" w14:textId="77777777" w:rsidR="00DB2276" w:rsidRDefault="00DB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65617"/>
    <w:multiLevelType w:val="hybridMultilevel"/>
    <w:tmpl w:val="FBE4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4BAA"/>
    <w:multiLevelType w:val="hybridMultilevel"/>
    <w:tmpl w:val="046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2770">
    <w:abstractNumId w:val="0"/>
  </w:num>
  <w:num w:numId="2" w16cid:durableId="817307992">
    <w:abstractNumId w:val="0"/>
  </w:num>
  <w:num w:numId="3" w16cid:durableId="1732578181">
    <w:abstractNumId w:val="0"/>
  </w:num>
  <w:num w:numId="4" w16cid:durableId="393354038">
    <w:abstractNumId w:val="0"/>
  </w:num>
  <w:num w:numId="5" w16cid:durableId="513765475">
    <w:abstractNumId w:val="0"/>
  </w:num>
  <w:num w:numId="6" w16cid:durableId="971443129">
    <w:abstractNumId w:val="0"/>
  </w:num>
  <w:num w:numId="7" w16cid:durableId="1343362698">
    <w:abstractNumId w:val="0"/>
  </w:num>
  <w:num w:numId="8" w16cid:durableId="318926585">
    <w:abstractNumId w:val="0"/>
  </w:num>
  <w:num w:numId="9" w16cid:durableId="2009868583">
    <w:abstractNumId w:val="0"/>
  </w:num>
  <w:num w:numId="10" w16cid:durableId="1069307563">
    <w:abstractNumId w:val="0"/>
  </w:num>
  <w:num w:numId="11" w16cid:durableId="416246473">
    <w:abstractNumId w:val="1"/>
  </w:num>
  <w:num w:numId="12" w16cid:durableId="89169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tjQ1NzA2NzIzNjFS0lEKTi0uzszPAykwrAUANae4hCwAAAA="/>
  </w:docVars>
  <w:rsids>
    <w:rsidRoot w:val="00DB2276"/>
    <w:rsid w:val="005B08BE"/>
    <w:rsid w:val="007138F6"/>
    <w:rsid w:val="008306A6"/>
    <w:rsid w:val="00A0761E"/>
    <w:rsid w:val="00C35562"/>
    <w:rsid w:val="00C8670F"/>
    <w:rsid w:val="00CC55C9"/>
    <w:rsid w:val="00CE7834"/>
    <w:rsid w:val="00DB2276"/>
    <w:rsid w:val="00EA7A1E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2D414"/>
  <w15:chartTrackingRefBased/>
  <w15:docId w15:val="{C41C28AC-D0DC-4D4B-9132-6C71275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C9"/>
  </w:style>
  <w:style w:type="paragraph" w:styleId="Heading1">
    <w:name w:val="heading 1"/>
    <w:basedOn w:val="Normal"/>
    <w:next w:val="Normal"/>
    <w:link w:val="Heading1Char"/>
    <w:uiPriority w:val="9"/>
    <w:qFormat/>
    <w:rsid w:val="00CC55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5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5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5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5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5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5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5C9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CC55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C55C9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5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5C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CC55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55C9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55C9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5C9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5C9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5C9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5C9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5C9"/>
    <w:pPr>
      <w:spacing w:line="240" w:lineRule="auto"/>
    </w:pPr>
    <w:rPr>
      <w:b/>
      <w:bCs/>
      <w:smallCaps/>
      <w:color w:val="242852" w:themeColor="text2"/>
    </w:rPr>
  </w:style>
  <w:style w:type="character" w:styleId="Strong">
    <w:name w:val="Strong"/>
    <w:basedOn w:val="DefaultParagraphFont"/>
    <w:uiPriority w:val="22"/>
    <w:qFormat/>
    <w:rsid w:val="00CC55C9"/>
    <w:rPr>
      <w:b/>
      <w:bCs/>
    </w:rPr>
  </w:style>
  <w:style w:type="character" w:styleId="Emphasis">
    <w:name w:val="Emphasis"/>
    <w:basedOn w:val="DefaultParagraphFont"/>
    <w:uiPriority w:val="20"/>
    <w:qFormat/>
    <w:rsid w:val="00CC55C9"/>
    <w:rPr>
      <w:i/>
      <w:iCs/>
    </w:rPr>
  </w:style>
  <w:style w:type="paragraph" w:styleId="NoSpacing">
    <w:name w:val="No Spacing"/>
    <w:link w:val="NoSpacingChar"/>
    <w:uiPriority w:val="1"/>
    <w:qFormat/>
    <w:rsid w:val="00CC55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55C9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55C9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5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5C9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55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C55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55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C55C9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C55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CC55C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C55C9"/>
  </w:style>
  <w:style w:type="paragraph" w:styleId="Header">
    <w:name w:val="header"/>
    <w:basedOn w:val="Normal"/>
    <w:link w:val="HeaderChar"/>
    <w:uiPriority w:val="99"/>
    <w:unhideWhenUsed/>
    <w:rsid w:val="00DB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76"/>
  </w:style>
  <w:style w:type="paragraph" w:styleId="Footer">
    <w:name w:val="footer"/>
    <w:basedOn w:val="Normal"/>
    <w:link w:val="FooterChar"/>
    <w:uiPriority w:val="99"/>
    <w:unhideWhenUsed/>
    <w:rsid w:val="00DB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76"/>
  </w:style>
  <w:style w:type="character" w:styleId="Hyperlink">
    <w:name w:val="Hyperlink"/>
    <w:basedOn w:val="DefaultParagraphFont"/>
    <w:uiPriority w:val="99"/>
    <w:unhideWhenUsed/>
    <w:rsid w:val="00DB2276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varybaptistbedfor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isp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00"/>
      </a:hlink>
      <a:folHlink>
        <a:srgbClr val="3EBBF0"/>
      </a:folHlink>
    </a:clrScheme>
    <a:fontScheme name="Custom 1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1652</Characters>
  <Application>Microsoft Office Word</Application>
  <DocSecurity>0</DocSecurity>
  <Lines>56</Lines>
  <Paragraphs>32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Hester</dc:creator>
  <cp:keywords/>
  <dc:description/>
  <cp:lastModifiedBy>John Hester</cp:lastModifiedBy>
  <cp:revision>1</cp:revision>
  <cp:lastPrinted>2025-01-15T18:37:00Z</cp:lastPrinted>
  <dcterms:created xsi:type="dcterms:W3CDTF">2025-01-15T18:32:00Z</dcterms:created>
  <dcterms:modified xsi:type="dcterms:W3CDTF">2025-01-15T18:38:00Z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44e6a263-4ad8-4c8b-bcf8-8760db6270f3</vt:lpwstr>
  </property>
</Properties>
</file>